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234</w:t>
      </w:r>
    </w:p>
    <w:p>
      <w:r>
        <w:t>Bundesgericht (BGE), 1971-10-26, DE</w:t>
      </w:r>
    </w:p>
    <w:p>
      <w:r>
        <w:rPr>
          <w:b/>
        </w:rPr>
        <w:t xml:space="preserve">Quelle: </w:t>
      </w:r>
      <w:r>
        <w:t>https://mcp.opencaselaw.ch/entscheid/bge_97 II 234</w:t>
      </w:r>
    </w:p>
    <w:p>
      <w:r>
        <w:t>FR: ATF 97 II 234</w:t>
      </w:r>
    </w:p>
    <w:p>
      <w:r>
        <w:t>IT: DTF 97 II 234</w:t>
      </w:r>
    </w:p>
    <w:p>
      <w:pPr>
        <w:pStyle w:val="Heading2"/>
      </w:pPr>
      <w:r>
        <w:t>Regeste</w:t>
      </w:r>
    </w:p>
    <w:p>
      <w:r>
        <w:t>Regeste Art. 951 Abs. 2 und 956 Abs. 2 OR. Anforderungen an die Unterscheidung von Gesellschaftsfirmen (Bestätigung der Rechtsprechung).</w:t>
      </w:r>
    </w:p>
    <w:p>
      <w:pPr>
        <w:pStyle w:val="Heading2"/>
      </w:pPr>
      <w:r>
        <w:t>Erwägungen</w:t>
      </w:r>
    </w:p>
    <w:p>
      <w:r>
        <w:rPr>
          <w:b/>
        </w:rPr>
        <w:t>E. 1</w:t>
      </w:r>
    </w:p>
    <w:p>
      <w:r>
        <w:t>Die Firmen der Aktiengesellschaften müssen sich von jeder in der Schweiz bereits eingetragenen Firma deutlich unterscheiden ( Art. 951 Abs. 2 OR ). Da die Gesellschaften ihre Firma im Rahmen der allgemeinen Regeln über die Firmenbildung frei wählen können, sind an die Unterscheidbarkeit strenge Anforderungen zu stellen. Das gilt namentlich dann, wenn es um Phantasiebezeichnungen geht, da in diesem Bereich die Auswahl keine Schwierigkeiten bereitet ( BGE 90 II 319 , BGE 92 II 97 , BGE 95 II 458 ). Besondere Rücksichtnahme bei der Firmenwahl ist ferner geboten, wenn die Gesellschaften ihren Sitz am gleichen Ort haben, miteinander im Wettbewerb stehen oder sich aus einem andern Grunde an die gleichen Kreise wenden; denn solche Umstände erhöhen die Gefahr von Verwechslungen (statt vieler: BGE 88 II 36 , 181 und 295). Das heisst nicht, aus Sachbezeichnungen bestehende Firmen oder Firmen von Gesellschaften mit abweichenden Sitzen und Zwecken brauchten sich voneinander nicht deutlich zu unterscheiden. Das gesetzliche Gebot dient nicht der Ordnung des Wettbewerbes, sondern will das Publikum vor Irreführung schützen und den Inhaber der älteren Firma um seiner Persönlichkeit und seiner gesamten Geschäftsinteressen willen vor Verwechslungen bewahren. Dabei ist grundsätzlich die ganze Firma zu berücksichtigen, doch kommt Bestandteilen, die durch ihren Klang oder Sinn hervorstechen, erhöhte Bedeutung zu, weil sie in der Erinnerung besser haften bleiben und im mündlichen und schriftlichen Verkehr oft allein verwendet werden. BGE 97 II 234 S. 236 Auch genügt nicht, dass zwei Firmen bei aufmerksamem Vergleich unterscheidbar sind; sie müssen vielmehr in der Erinnerung deutlich auseinander gehalten werden können ( BGE 92 II 96 /7, BGE 93 II 44 , BGE 94 II 129 , BGE 95 II 458 und 569). Trifft dies nicht zu, so kann der Inhaber der älteren Firma vom Richter verlangen, dass dem Inhaber der jüngeren deren weitere Führung verboten wird ( Art. 956 Abs. 2 OR ).</w:t>
      </w:r>
    </w:p>
    <w:p>
      <w:r>
        <w:rPr>
          <w:b/>
        </w:rPr>
        <w:t>E. 2</w:t>
      </w:r>
    </w:p>
    <w:p>
      <w:r>
        <w:t>Im vorliegenden Fall bestehen die Firmen der Parteien hauptsächlich aus den Fremdwörtern "Intershop" bzw. "Interstop". Diese Wörter unterscheiden sich bloss durch einen Konsonanten, der ihre Aussprache nur sehr wenig verändert; sie sind deshalb einander nicht bloss im Schriftbild, sondern auch im Wortklang täuschend ähnlich. Beiden Firmen ist ferner die Abkürzung für Aktiengesellschaft (AG) gemeinsam. Dem Wort "Holding" in der Firma der Klägerin kommt keine Unterscheidungskraft zu, da es bloss darauf hinweist, dass die Gesellschaft wirtschaftlich mit anderen verbunden ist. Die Möglichkeit von Verwechslungen und der Irreführung des Publikums ist umso weniger zu unterschätzen, als man allgemein dazu neigt, Firmen durch den blossen Gebrauch ihres charakteristischen Bestandteils abzukürzen. Auch die Firma der Klägerin wird, wie bereits das Kantonsgericht der Beklagten entgegengehalten hat, häufig ohne den Zusatz "Holding" verwendet, namentlich in den täglichen Börsenberichten von Presse und Radio. Die Gefahr von Verwechslungen liegt unter diesen Umständen auf der Hand. Sie lässt sich entgegen den Versuchen der Beklagten im Ernst nicht bestreiten, zumal es nach den Feststellungen der Vorinstanz z.B. bei der Zustellung von Postsendungen und Telegrammen wiederholt zu Verwechslungen gekommen ist. Das Obergericht bejaht die Verwechselbarkeit der streitigen Firmen, hält die Bezeichnung der Beklagten aber gleichwohl für zulässig, weil die Parteien nicht auf dem gleichen oder einem ähnlichen Gebiete tätig seien, von einer Täuschungsgefahr folglich nicht die Rede sein könne. Es beruft sich dabei auf YVES GENRE (Das Branchensystem im Firmenrecht, Diss. Zürich 1970), der das Firmenrecht entgegen der Rechtsprechung nach wettbewerbsrechtlichen Gesichtspunkten ausrichten und das gesetzliche Gebot deutlicher Unterscheidbarkeit darauf beschränken möchte, Täuschungen innerhalb ein und derselben Branche zu vermeiden (vgl. insbes. S. 45 ff., 63 ff., 106 und BGE 97 II 234 S. 237 114/5). Ähnlicher Auffassung ist MARIO M. PEDRAZZINI (Bemerkungen zur neueren firmenrechtlichen Praxis, in "Lebendiges Aktienrecht", Festgabe für Wolfhart Friedrich Bürgi, S. 299 ff.), der die Rechtsprechung des Bundesgerichts ebenfalls für zu streng hält und anregt, sie unter Berücksichtigung wettbewerbsrechtlicher Kriterien und Anwendung einer branchenmässigen Betrachtungsweise zu lockern. Zu dieser Kritik Stellung zu nehmen, erübrigt sich indes im vorliegenden Fall, da die Begehren der Klägerin so oder anders gutgeheissen werden müssen. Dem Obergericht ist vorweg entgegenzuhalten, dass Art. 951 Abs. 2 OR nicht danach fragt, ob Gesellschaften, die sich über Firmenbezeichnungen streiten, in der gleichen oder in verschiedenen Branchen tätig sind und wer durch verwechselbare Bezeichnungen getäuscht werden kann. Es genügt, dass eine Firma sich von einer bereits eingetragenen nicht deutlich unterscheidet. Freilich enthebt der Umstand, dass eine Bestimmung ihrem Wortlaut nach klar ist, den Richter nicht der Pflicht, nach dem vernünftigen Sinn des Gesetzes zu forschen und notfalls eine zu allgemein gehaltene Norm einzuschränken, wenn der Grundgedanke der Regelung und der von ihr verfolgte Zweck es verlangen, Diese Voraussetzung ist hier aber offensichtlich nicht erfüllt. Gerade in Fällen wie dem vorliegenden besteht ein ganz besonderes Bedürfnis, Gesellschaften deutlich unterscheiden zu können, auch wenn sie angeblich nicht auf gleichen Gebieten tätig sind. Weder der Firma der Klägerin noch derjenigen der Beklagten ist zu entnehmen, in welchen Wirtschaftszweigen sie Geschäfte tätigen. Dies gilt insbesondere von der Firma der Beklagten. Nichts in ihrem Namen deutet darauf hin, dass sie sich, wie das Obergericht feststellt, vor allem mit der Herstellung und dem Vertrieb von Spezialverschlüssen für den Stahlguss befasst. Ausserdem ist massgebend nicht bloss, auf welchen Gebieten die beiden Gesellschaften gerade tätig sind, sondern auch welche Zwecke sie nach den Statuten verfolgen können (nicht veröffentlichte Urteile vom 21. September 1971 i.S. Fidèle Financière SA c. Fides Union fiduciaire SA und vom 4. Mai 1971 i.S. Uhrenfabrik Rolex A.-G. c. Rolax A.-G. Kugellagerfabrik). Der statutarische Zweck der Beklagten ist nun so weit gefasst, dass er denjenigen der Klägerin in sich schliesst. Wenn die Beklagte nach den Statuten aber gleiche oder ähnliche Geschäfte besorgen kann wie die Klägerin, ist die BGE 97 II 234 S. 238 Gefahr von Verwechslungen selbst nach wettbewerbsrechtlichen Überlegungen zu bejahen. Die Klägerin kann somit vom Richter verlangen, dass der Beklagten der Gebrauch der Firmenbezeichnung "Interstop" verboten und ihr zudem befohlen wird, die Bezeichnung aus dem Handelsregister entfernen zu lassen. Das Verbot und der Befehl sind von Amtes wegen mit der Androhung zu verbinden, dass Widerhandlungen für die Organe der Beklagten die in Art. 292 StGB vorgesehenen Strafen nach sich zögen ( BGE 87 II 112 Erw. 5, BGE 96 II 262 ).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